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Гражданское дело № </w:t>
      </w:r>
      <w:r>
        <w:rPr>
          <w:rFonts w:ascii="Times New Roman" w:eastAsia="Times New Roman" w:hAnsi="Times New Roman" w:cs="Times New Roman"/>
          <w:spacing w:val="26"/>
        </w:rPr>
        <w:t>02-4074/1302/2024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УИД </w:t>
      </w:r>
      <w:r>
        <w:rPr>
          <w:rFonts w:ascii="Times New Roman" w:eastAsia="Times New Roman" w:hAnsi="Times New Roman" w:cs="Times New Roman"/>
          <w:spacing w:val="26"/>
        </w:rPr>
        <w:t>86MS0013-01-2024-008561-06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</w:p>
    <w:p>
      <w:pPr>
        <w:spacing w:before="0" w:after="0" w:line="360" w:lineRule="auto"/>
        <w:jc w:val="center"/>
        <w:rPr>
          <w:sz w:val="27"/>
          <w:szCs w:val="27"/>
        </w:rPr>
      </w:pP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</w:rPr>
        <w:t>РЕШЕНИЕ</w:t>
      </w: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Сургутского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исполняя обязанности мирового судьи судебного участка № 2 Сургутского судебного района ХМАО-Югры по рассмотрению гражданских дел, на основании постановления председателя Сургутского районного суда ХМАО-Югры от 11.10.2024 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Софронову Алексею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 расходов по уплате государственной пошлины,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Софронову Алексею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 расходов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Софронов Алексей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жительства: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за оказанные услуги по обращению с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(лицевой счет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5671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а также расходы по уплате государственной пошлины в размере 400 рублей 00 копеек,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6071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 семьдесят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рубль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апелляционном порядке в Сургутский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путем подачи апелляционной жалобы через мирового судью судебного участка № 2 Сургутского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09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6rplc-15">
    <w:name w:val="cat-ExternalSystemDefined grp-26 rplc-15"/>
    <w:basedOn w:val="DefaultParagraphFont"/>
  </w:style>
  <w:style w:type="character" w:customStyle="1" w:styleId="cat-PassportDatagrp-20rplc-16">
    <w:name w:val="cat-PassportData grp-20 rplc-16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PassportDatagrp-21rplc-22">
    <w:name w:val="cat-PassportData grp-21 rplc-22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5">
    <w:name w:val="cat-UserDefined grp-2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